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AC" w:rsidRDefault="00AA2501" w:rsidP="001C5EAC">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1C5EAC" w:rsidRPr="001C5EAC" w:rsidRDefault="001C5EAC" w:rsidP="001C5EAC">
      <w:pPr>
        <w:pStyle w:val="2"/>
        <w:ind w:left="0"/>
        <w:jc w:val="center"/>
        <w:rPr>
          <w:szCs w:val="28"/>
        </w:rPr>
      </w:pPr>
      <w:r w:rsidRPr="001C5EAC">
        <w:rPr>
          <w:szCs w:val="28"/>
        </w:rPr>
        <w:t>РОССИЙСКАЯ  ФЕДЕРАЦИЯ</w:t>
      </w:r>
    </w:p>
    <w:p w:rsidR="001C5EAC" w:rsidRPr="001C5EAC" w:rsidRDefault="001C5EAC" w:rsidP="001C5EAC">
      <w:pPr>
        <w:pStyle w:val="2"/>
        <w:ind w:left="0"/>
        <w:jc w:val="center"/>
        <w:rPr>
          <w:szCs w:val="28"/>
        </w:rPr>
      </w:pPr>
      <w:r w:rsidRPr="001C5EAC">
        <w:rPr>
          <w:szCs w:val="28"/>
        </w:rPr>
        <w:t>РОСТОВСКАЯ ОБЛАСТЬ</w:t>
      </w:r>
    </w:p>
    <w:p w:rsidR="001C5EAC" w:rsidRPr="001C5EAC" w:rsidRDefault="001C5EAC" w:rsidP="001C5EAC">
      <w:pPr>
        <w:pStyle w:val="2"/>
        <w:ind w:left="0"/>
        <w:jc w:val="center"/>
        <w:rPr>
          <w:szCs w:val="28"/>
        </w:rPr>
      </w:pPr>
      <w:r w:rsidRPr="001C5EAC">
        <w:rPr>
          <w:szCs w:val="28"/>
        </w:rPr>
        <w:t xml:space="preserve">МУНИЦИПАЛЬНОЕ ОБРАЗОВАНИЕ </w:t>
      </w:r>
    </w:p>
    <w:p w:rsidR="001C5EAC" w:rsidRPr="001C5EAC" w:rsidRDefault="001C5EAC" w:rsidP="001C5EAC">
      <w:pPr>
        <w:pStyle w:val="2"/>
        <w:ind w:left="0"/>
        <w:jc w:val="center"/>
        <w:rPr>
          <w:szCs w:val="28"/>
        </w:rPr>
      </w:pPr>
      <w:r w:rsidRPr="001C5EAC">
        <w:rPr>
          <w:szCs w:val="28"/>
        </w:rPr>
        <w:t>«СИНЕГОРСКОЕ СЕЛЬСКОЕ ПОСЕЛЕНИЕ»</w:t>
      </w:r>
    </w:p>
    <w:p w:rsidR="001C5EAC" w:rsidRPr="001C5EAC" w:rsidRDefault="001C5EAC" w:rsidP="001C5EAC">
      <w:pPr>
        <w:pStyle w:val="2"/>
        <w:ind w:left="0"/>
        <w:jc w:val="center"/>
        <w:rPr>
          <w:szCs w:val="28"/>
        </w:rPr>
      </w:pPr>
      <w:r w:rsidRPr="001C5EAC">
        <w:rPr>
          <w:szCs w:val="28"/>
        </w:rPr>
        <w:t>АДМИНИСТРАЦИЯ СИНЕГОРСКОГО СЕЛЬСКОГО ПОСЕЛЕНИЯ</w:t>
      </w:r>
    </w:p>
    <w:p w:rsidR="001C5EAC" w:rsidRPr="00D731C7" w:rsidRDefault="001C5EAC" w:rsidP="001C5EAC">
      <w:pPr>
        <w:spacing w:before="120"/>
        <w:jc w:val="center"/>
        <w:rPr>
          <w:b/>
          <w:sz w:val="28"/>
          <w:szCs w:val="28"/>
        </w:rPr>
      </w:pPr>
      <w:r w:rsidRPr="00D731C7">
        <w:rPr>
          <w:b/>
          <w:sz w:val="28"/>
          <w:szCs w:val="28"/>
        </w:rPr>
        <w:t>ПОСТАНОВЛЕНИЕ</w:t>
      </w:r>
    </w:p>
    <w:p w:rsidR="001E04D5" w:rsidRDefault="00762A20" w:rsidP="001E04D5">
      <w:pPr>
        <w:spacing w:before="120"/>
        <w:jc w:val="center"/>
        <w:rPr>
          <w:sz w:val="28"/>
        </w:rPr>
      </w:pPr>
      <w:r>
        <w:rPr>
          <w:sz w:val="28"/>
        </w:rPr>
        <w:t>от 25.07</w:t>
      </w:r>
      <w:r w:rsidR="001E04D5">
        <w:rPr>
          <w:sz w:val="28"/>
        </w:rPr>
        <w:t>.202</w:t>
      </w:r>
      <w:r w:rsidR="005B69E0">
        <w:rPr>
          <w:sz w:val="28"/>
        </w:rPr>
        <w:t>3</w:t>
      </w:r>
      <w:r w:rsidR="001E04D5">
        <w:rPr>
          <w:sz w:val="28"/>
        </w:rPr>
        <w:tab/>
        <w:t xml:space="preserve">   № </w:t>
      </w:r>
      <w:r>
        <w:rPr>
          <w:sz w:val="28"/>
        </w:rPr>
        <w:t>148</w:t>
      </w:r>
    </w:p>
    <w:p w:rsidR="001C5EAC" w:rsidRPr="00C96E82" w:rsidRDefault="001C5EAC" w:rsidP="001C5EAC">
      <w:pPr>
        <w:spacing w:before="120"/>
        <w:jc w:val="center"/>
        <w:rPr>
          <w:sz w:val="28"/>
        </w:rPr>
      </w:pPr>
      <w:r>
        <w:rPr>
          <w:sz w:val="28"/>
        </w:rPr>
        <w:t>п. Синегорский</w:t>
      </w:r>
    </w:p>
    <w:p w:rsidR="001C5EAC" w:rsidRPr="00DB3414" w:rsidRDefault="001C5EAC" w:rsidP="001C5EAC">
      <w:pPr>
        <w:pStyle w:val="ConsNonformat"/>
        <w:ind w:right="0"/>
        <w:rPr>
          <w:rFonts w:ascii="Times New Roman" w:hAnsi="Times New Roman" w:cs="Times New Roman"/>
          <w:sz w:val="28"/>
          <w:szCs w:val="28"/>
        </w:rPr>
      </w:pP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1C5EAC" w:rsidRPr="00ED27EB" w:rsidRDefault="001C5EAC" w:rsidP="001C5EAC">
      <w:pPr>
        <w:pStyle w:val="ConsNonformat"/>
        <w:ind w:right="0"/>
        <w:jc w:val="center"/>
        <w:rPr>
          <w:rFonts w:ascii="Times New Roman" w:hAnsi="Times New Roman" w:cs="Times New Roman"/>
          <w:b/>
          <w:bCs/>
          <w:sz w:val="28"/>
          <w:szCs w:val="28"/>
        </w:rPr>
      </w:pPr>
      <w:r>
        <w:rPr>
          <w:rFonts w:ascii="Times New Roman" w:hAnsi="Times New Roman" w:cs="Times New Roman"/>
          <w:b/>
          <w:bCs/>
          <w:sz w:val="28"/>
          <w:szCs w:val="28"/>
        </w:rPr>
        <w:t>м</w:t>
      </w:r>
      <w:r w:rsidRPr="00ED27EB">
        <w:rPr>
          <w:rFonts w:ascii="Times New Roman" w:hAnsi="Times New Roman" w:cs="Times New Roman"/>
          <w:b/>
          <w:bCs/>
          <w:sz w:val="28"/>
          <w:szCs w:val="28"/>
        </w:rPr>
        <w:t>униципальной программы</w:t>
      </w:r>
      <w:r>
        <w:rPr>
          <w:rFonts w:ascii="Times New Roman" w:hAnsi="Times New Roman" w:cs="Times New Roman"/>
          <w:b/>
          <w:bCs/>
          <w:sz w:val="28"/>
          <w:szCs w:val="28"/>
        </w:rPr>
        <w:t xml:space="preserve"> </w:t>
      </w:r>
      <w:r w:rsidRPr="00ED27EB">
        <w:rPr>
          <w:rFonts w:ascii="Times New Roman" w:hAnsi="Times New Roman" w:cs="Times New Roman"/>
          <w:b/>
          <w:bCs/>
          <w:sz w:val="28"/>
          <w:szCs w:val="28"/>
        </w:rPr>
        <w:t>Синегорского сельского поселения</w:t>
      </w: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«Обеспечение общественного</w:t>
      </w:r>
      <w:r>
        <w:rPr>
          <w:rFonts w:ascii="Times New Roman" w:hAnsi="Times New Roman" w:cs="Times New Roman"/>
          <w:b/>
          <w:bCs/>
          <w:sz w:val="28"/>
          <w:szCs w:val="28"/>
        </w:rPr>
        <w:t xml:space="preserve"> </w:t>
      </w:r>
      <w:r w:rsidRPr="00ED27EB">
        <w:rPr>
          <w:rFonts w:ascii="Times New Roman" w:hAnsi="Times New Roman" w:cs="Times New Roman"/>
          <w:b/>
          <w:bCs/>
          <w:sz w:val="28"/>
          <w:szCs w:val="28"/>
        </w:rPr>
        <w:t>порядка  и противодействие преступности»</w:t>
      </w: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 xml:space="preserve">за </w:t>
      </w:r>
      <w:r w:rsidR="005B69E0">
        <w:rPr>
          <w:rFonts w:ascii="Times New Roman" w:hAnsi="Times New Roman" w:cs="Times New Roman"/>
          <w:b/>
          <w:bCs/>
          <w:sz w:val="28"/>
          <w:szCs w:val="28"/>
        </w:rPr>
        <w:t>1</w:t>
      </w:r>
      <w:r w:rsidR="00DC0850">
        <w:rPr>
          <w:rFonts w:ascii="Times New Roman" w:hAnsi="Times New Roman" w:cs="Times New Roman"/>
          <w:b/>
          <w:bCs/>
          <w:sz w:val="28"/>
          <w:szCs w:val="28"/>
        </w:rPr>
        <w:t xml:space="preserve"> </w:t>
      </w:r>
      <w:r w:rsidR="00D417D9">
        <w:rPr>
          <w:rFonts w:ascii="Times New Roman" w:hAnsi="Times New Roman" w:cs="Times New Roman"/>
          <w:b/>
          <w:bCs/>
          <w:sz w:val="28"/>
          <w:szCs w:val="28"/>
        </w:rPr>
        <w:t>полугодие</w:t>
      </w:r>
      <w:r w:rsidR="00DC0850">
        <w:rPr>
          <w:rFonts w:ascii="Times New Roman" w:hAnsi="Times New Roman" w:cs="Times New Roman"/>
          <w:b/>
          <w:bCs/>
          <w:sz w:val="28"/>
          <w:szCs w:val="28"/>
        </w:rPr>
        <w:t xml:space="preserve"> </w:t>
      </w:r>
      <w:r w:rsidRPr="00ED27EB">
        <w:rPr>
          <w:rFonts w:ascii="Times New Roman" w:hAnsi="Times New Roman" w:cs="Times New Roman"/>
          <w:b/>
          <w:bCs/>
          <w:sz w:val="28"/>
          <w:szCs w:val="28"/>
        </w:rPr>
        <w:t>20</w:t>
      </w:r>
      <w:r>
        <w:rPr>
          <w:rFonts w:ascii="Times New Roman" w:hAnsi="Times New Roman" w:cs="Times New Roman"/>
          <w:b/>
          <w:bCs/>
          <w:sz w:val="28"/>
          <w:szCs w:val="28"/>
        </w:rPr>
        <w:t>2</w:t>
      </w:r>
      <w:r w:rsidR="005B69E0">
        <w:rPr>
          <w:rFonts w:ascii="Times New Roman" w:hAnsi="Times New Roman" w:cs="Times New Roman"/>
          <w:b/>
          <w:bCs/>
          <w:sz w:val="28"/>
          <w:szCs w:val="28"/>
        </w:rPr>
        <w:t>3</w:t>
      </w:r>
      <w:r w:rsidR="003D28FA">
        <w:rPr>
          <w:rFonts w:ascii="Times New Roman" w:hAnsi="Times New Roman" w:cs="Times New Roman"/>
          <w:b/>
          <w:bCs/>
          <w:sz w:val="28"/>
          <w:szCs w:val="28"/>
        </w:rPr>
        <w:t xml:space="preserve"> год</w:t>
      </w:r>
      <w:r w:rsidR="00DC0850">
        <w:rPr>
          <w:rFonts w:ascii="Times New Roman" w:hAnsi="Times New Roman" w:cs="Times New Roman"/>
          <w:b/>
          <w:bCs/>
          <w:sz w:val="28"/>
          <w:szCs w:val="28"/>
        </w:rPr>
        <w:t>а</w:t>
      </w:r>
    </w:p>
    <w:p w:rsidR="001C5EAC" w:rsidRPr="00DB3414" w:rsidRDefault="001C5EAC" w:rsidP="001C5EAC">
      <w:pPr>
        <w:pStyle w:val="ConsNonformat"/>
        <w:ind w:right="0"/>
        <w:jc w:val="both"/>
        <w:rPr>
          <w:rFonts w:ascii="Times New Roman" w:hAnsi="Times New Roman" w:cs="Times New Roman"/>
          <w:bCs/>
          <w:sz w:val="28"/>
          <w:szCs w:val="28"/>
        </w:rPr>
      </w:pPr>
    </w:p>
    <w:p w:rsidR="001C5EAC" w:rsidRPr="009218EC" w:rsidRDefault="001C5EAC" w:rsidP="001C5EAC">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1B5B79" w:rsidRDefault="001B5B79" w:rsidP="001B5B79">
      <w:pPr>
        <w:pStyle w:val="ConsNonformat"/>
        <w:ind w:right="0" w:firstLine="709"/>
        <w:rPr>
          <w:rFonts w:ascii="Times New Roman" w:hAnsi="Times New Roman" w:cs="Times New Roman"/>
          <w:sz w:val="28"/>
          <w:szCs w:val="28"/>
        </w:rPr>
      </w:pPr>
    </w:p>
    <w:p w:rsidR="00980B9B"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22438">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1.1.Отчет об исполнении</w:t>
      </w:r>
      <w:r w:rsidR="001B5B79">
        <w:rPr>
          <w:rFonts w:ascii="Times New Roman" w:hAnsi="Times New Roman" w:cs="Times New Roman"/>
          <w:sz w:val="28"/>
          <w:szCs w:val="28"/>
        </w:rPr>
        <w:t xml:space="preserve"> </w:t>
      </w:r>
      <w:r w:rsidR="003D37B3">
        <w:rPr>
          <w:rFonts w:ascii="Times New Roman" w:hAnsi="Times New Roman" w:cs="Times New Roman"/>
          <w:sz w:val="28"/>
          <w:szCs w:val="28"/>
        </w:rPr>
        <w:t xml:space="preserve"> </w:t>
      </w:r>
      <w:r w:rsidR="001B5B79">
        <w:rPr>
          <w:rFonts w:ascii="Times New Roman" w:hAnsi="Times New Roman" w:cs="Times New Roman"/>
          <w:kern w:val="2"/>
          <w:sz w:val="28"/>
          <w:szCs w:val="28"/>
        </w:rPr>
        <w:t>муниципальной программы Синегорского сельского поселения «Обеспечение общественного порядка и противодействие преступности»</w:t>
      </w:r>
      <w:r w:rsidR="007F076B">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5B69E0">
        <w:rPr>
          <w:rFonts w:ascii="Times New Roman" w:hAnsi="Times New Roman" w:cs="Times New Roman"/>
          <w:kern w:val="2"/>
          <w:sz w:val="28"/>
          <w:szCs w:val="28"/>
        </w:rPr>
        <w:t>1</w:t>
      </w:r>
      <w:r w:rsidR="00DC0850">
        <w:rPr>
          <w:rFonts w:ascii="Times New Roman" w:hAnsi="Times New Roman" w:cs="Times New Roman"/>
          <w:kern w:val="2"/>
          <w:sz w:val="28"/>
          <w:szCs w:val="28"/>
        </w:rPr>
        <w:t xml:space="preserve"> </w:t>
      </w:r>
      <w:r w:rsidR="00D417D9">
        <w:rPr>
          <w:rFonts w:ascii="Times New Roman" w:hAnsi="Times New Roman" w:cs="Times New Roman"/>
          <w:kern w:val="2"/>
          <w:sz w:val="28"/>
          <w:szCs w:val="28"/>
        </w:rPr>
        <w:t>полугодие</w:t>
      </w:r>
      <w:r w:rsidR="003D28FA">
        <w:rPr>
          <w:rFonts w:ascii="Times New Roman" w:hAnsi="Times New Roman" w:cs="Times New Roman"/>
          <w:kern w:val="2"/>
          <w:sz w:val="28"/>
          <w:szCs w:val="28"/>
        </w:rPr>
        <w:t xml:space="preserve"> </w:t>
      </w:r>
      <w:r w:rsidR="00562937">
        <w:rPr>
          <w:rFonts w:ascii="Times New Roman" w:hAnsi="Times New Roman" w:cs="Times New Roman"/>
          <w:kern w:val="2"/>
          <w:sz w:val="28"/>
          <w:szCs w:val="28"/>
        </w:rPr>
        <w:t>202</w:t>
      </w:r>
      <w:r w:rsidR="005B69E0">
        <w:rPr>
          <w:rFonts w:ascii="Times New Roman" w:hAnsi="Times New Roman" w:cs="Times New Roman"/>
          <w:kern w:val="2"/>
          <w:sz w:val="28"/>
          <w:szCs w:val="28"/>
        </w:rPr>
        <w:t>3</w:t>
      </w:r>
      <w:r w:rsidR="007F076B">
        <w:rPr>
          <w:rFonts w:ascii="Times New Roman" w:hAnsi="Times New Roman" w:cs="Times New Roman"/>
          <w:kern w:val="2"/>
          <w:sz w:val="28"/>
          <w:szCs w:val="28"/>
        </w:rPr>
        <w:t xml:space="preserve"> год</w:t>
      </w:r>
      <w:r w:rsidR="00DC0850">
        <w:rPr>
          <w:rFonts w:ascii="Times New Roman" w:hAnsi="Times New Roman" w:cs="Times New Roman"/>
          <w:kern w:val="2"/>
          <w:sz w:val="28"/>
          <w:szCs w:val="28"/>
        </w:rPr>
        <w:t>а</w:t>
      </w:r>
      <w:r w:rsidR="001B5B79">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силу с</w:t>
      </w:r>
      <w:r w:rsidR="008D35B5">
        <w:rPr>
          <w:rFonts w:ascii="Times New Roman" w:hAnsi="Times New Roman" w:cs="Times New Roman"/>
          <w:sz w:val="28"/>
          <w:szCs w:val="28"/>
        </w:rPr>
        <w:t xml:space="preserve"> момента его официального опубликования</w:t>
      </w:r>
      <w:r w:rsidR="001B5B79">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E2948">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1B5B79" w:rsidRDefault="001B5B79" w:rsidP="001B5B79">
      <w:pPr>
        <w:pStyle w:val="ConsPlusNormal"/>
        <w:ind w:firstLine="540"/>
        <w:jc w:val="both"/>
        <w:rPr>
          <w:rFonts w:ascii="Times New Roman" w:hAnsi="Times New Roman" w:cs="Times New Roman"/>
          <w:sz w:val="28"/>
          <w:szCs w:val="28"/>
        </w:rPr>
      </w:pPr>
    </w:p>
    <w:p w:rsidR="00F831C7" w:rsidRPr="00F831C7" w:rsidRDefault="00F831C7" w:rsidP="001B5B79">
      <w:pPr>
        <w:pStyle w:val="ConsPlusNormal"/>
        <w:ind w:firstLine="540"/>
        <w:jc w:val="both"/>
        <w:rPr>
          <w:rFonts w:ascii="Times New Roman" w:hAnsi="Times New Roman" w:cs="Times New Roman"/>
          <w:sz w:val="28"/>
          <w:szCs w:val="28"/>
        </w:rPr>
      </w:pPr>
    </w:p>
    <w:p w:rsidR="00F831C7" w:rsidRDefault="00F831C7" w:rsidP="00F831C7">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F831C7" w:rsidRDefault="00F831C7" w:rsidP="00F831C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811177">
        <w:rPr>
          <w:rFonts w:ascii="Times New Roman" w:hAnsi="Times New Roman" w:cs="Times New Roman"/>
          <w:sz w:val="28"/>
          <w:szCs w:val="28"/>
        </w:rPr>
        <w:t xml:space="preserve">                  А.В. Гвозденко</w:t>
      </w:r>
    </w:p>
    <w:p w:rsidR="00762A20" w:rsidRDefault="00762A20" w:rsidP="00F831C7">
      <w:pPr>
        <w:pStyle w:val="ConsPlusNormal"/>
        <w:ind w:firstLine="0"/>
        <w:rPr>
          <w:rFonts w:ascii="Times New Roman" w:hAnsi="Times New Roman" w:cs="Times New Roman"/>
          <w:sz w:val="28"/>
          <w:szCs w:val="28"/>
        </w:rPr>
      </w:pPr>
    </w:p>
    <w:p w:rsidR="00F831C7" w:rsidRDefault="00762A20" w:rsidP="00F831C7">
      <w:pPr>
        <w:rPr>
          <w:sz w:val="28"/>
          <w:szCs w:val="28"/>
        </w:rPr>
      </w:pPr>
      <w:r>
        <w:rPr>
          <w:sz w:val="28"/>
          <w:szCs w:val="28"/>
        </w:rPr>
        <w:t>Верно</w:t>
      </w:r>
      <w:r w:rsidR="00F831C7">
        <w:rPr>
          <w:sz w:val="28"/>
          <w:szCs w:val="28"/>
        </w:rPr>
        <w:t>:</w:t>
      </w:r>
    </w:p>
    <w:p w:rsidR="00F831C7" w:rsidRDefault="00762A20" w:rsidP="00F831C7">
      <w:pPr>
        <w:rPr>
          <w:sz w:val="28"/>
          <w:szCs w:val="28"/>
        </w:rPr>
      </w:pPr>
      <w:r>
        <w:rPr>
          <w:sz w:val="28"/>
          <w:szCs w:val="28"/>
        </w:rPr>
        <w:t>Заведующий</w:t>
      </w:r>
      <w:r w:rsidR="00F831C7">
        <w:rPr>
          <w:sz w:val="28"/>
          <w:szCs w:val="28"/>
        </w:rPr>
        <w:t xml:space="preserve"> сектором по общим и </w:t>
      </w:r>
    </w:p>
    <w:p w:rsidR="00F831C7" w:rsidRDefault="00F831C7" w:rsidP="00F831C7">
      <w:pPr>
        <w:rPr>
          <w:sz w:val="28"/>
          <w:szCs w:val="28"/>
        </w:rPr>
      </w:pPr>
      <w:r>
        <w:rPr>
          <w:sz w:val="28"/>
          <w:szCs w:val="28"/>
        </w:rPr>
        <w:t>земельно-правовым вопросам                                                      С.П. Беседина</w:t>
      </w:r>
    </w:p>
    <w:p w:rsidR="00FD35EE" w:rsidRDefault="00FD35EE" w:rsidP="00FD35EE">
      <w:pPr>
        <w:pStyle w:val="ConsPlusNormal"/>
        <w:ind w:firstLine="0"/>
        <w:rPr>
          <w:rFonts w:ascii="Times New Roman" w:hAnsi="Times New Roman" w:cs="Times New Roman"/>
          <w:sz w:val="28"/>
          <w:szCs w:val="28"/>
        </w:rPr>
      </w:pPr>
    </w:p>
    <w:p w:rsidR="0001441C" w:rsidRDefault="0001441C" w:rsidP="0001441C">
      <w:pPr>
        <w:rPr>
          <w:sz w:val="28"/>
          <w:szCs w:val="28"/>
        </w:rPr>
      </w:pPr>
    </w:p>
    <w:p w:rsidR="002351C8" w:rsidRPr="0001441C" w:rsidRDefault="002351C8" w:rsidP="0001441C">
      <w:pPr>
        <w:rPr>
          <w:sz w:val="28"/>
          <w:szCs w:val="28"/>
        </w:rPr>
        <w:sectPr w:rsidR="002351C8" w:rsidRPr="0001441C">
          <w:pgSz w:w="11907" w:h="16840"/>
          <w:pgMar w:top="284" w:right="851" w:bottom="454" w:left="1077" w:header="720" w:footer="720" w:gutter="0"/>
          <w:cols w:space="720"/>
        </w:sectPr>
      </w:pPr>
    </w:p>
    <w:p w:rsidR="00D549CF" w:rsidRPr="00F51226" w:rsidRDefault="00D549CF" w:rsidP="00D549CF">
      <w:pPr>
        <w:shd w:val="clear" w:color="auto" w:fill="FFFFFF"/>
        <w:spacing w:line="317" w:lineRule="exact"/>
        <w:ind w:left="11083"/>
        <w:jc w:val="right"/>
        <w:rPr>
          <w:sz w:val="22"/>
          <w:szCs w:val="22"/>
        </w:rPr>
      </w:pPr>
      <w:r w:rsidRPr="00F51226">
        <w:rPr>
          <w:color w:val="000000"/>
          <w:spacing w:val="-2"/>
          <w:sz w:val="22"/>
          <w:szCs w:val="22"/>
        </w:rPr>
        <w:lastRenderedPageBreak/>
        <w:t>Приложение</w:t>
      </w:r>
    </w:p>
    <w:p w:rsidR="00D549CF" w:rsidRPr="00F51226" w:rsidRDefault="00D549CF" w:rsidP="00D549CF">
      <w:pPr>
        <w:shd w:val="clear" w:color="auto" w:fill="FFFFFF"/>
        <w:spacing w:line="317" w:lineRule="exact"/>
        <w:ind w:left="11088"/>
        <w:jc w:val="right"/>
        <w:rPr>
          <w:color w:val="000000"/>
          <w:spacing w:val="-3"/>
          <w:sz w:val="22"/>
          <w:szCs w:val="22"/>
        </w:rPr>
      </w:pPr>
      <w:r w:rsidRPr="00F51226">
        <w:rPr>
          <w:color w:val="000000"/>
          <w:spacing w:val="-2"/>
          <w:sz w:val="22"/>
          <w:szCs w:val="22"/>
        </w:rPr>
        <w:t xml:space="preserve">к постановлению </w:t>
      </w:r>
      <w:r w:rsidRPr="00F51226">
        <w:rPr>
          <w:color w:val="000000"/>
          <w:spacing w:val="-3"/>
          <w:sz w:val="22"/>
          <w:szCs w:val="22"/>
        </w:rPr>
        <w:t>Администрации Синегорского сельского  поселения</w:t>
      </w:r>
    </w:p>
    <w:p w:rsidR="00D549CF" w:rsidRPr="00F51226" w:rsidRDefault="00762A20" w:rsidP="00D549CF">
      <w:pPr>
        <w:shd w:val="clear" w:color="auto" w:fill="FFFFFF"/>
        <w:spacing w:line="317" w:lineRule="exact"/>
        <w:ind w:left="11088"/>
        <w:jc w:val="right"/>
        <w:rPr>
          <w:color w:val="000000"/>
          <w:spacing w:val="-3"/>
          <w:sz w:val="22"/>
          <w:szCs w:val="22"/>
        </w:rPr>
      </w:pPr>
      <w:r>
        <w:rPr>
          <w:color w:val="000000"/>
          <w:spacing w:val="-3"/>
          <w:sz w:val="22"/>
          <w:szCs w:val="22"/>
        </w:rPr>
        <w:t>25</w:t>
      </w:r>
      <w:r w:rsidR="003D28FA">
        <w:rPr>
          <w:color w:val="000000"/>
          <w:spacing w:val="-3"/>
          <w:sz w:val="22"/>
          <w:szCs w:val="22"/>
        </w:rPr>
        <w:t>.0</w:t>
      </w:r>
      <w:r w:rsidR="00D417D9">
        <w:rPr>
          <w:color w:val="000000"/>
          <w:spacing w:val="-3"/>
          <w:sz w:val="22"/>
          <w:szCs w:val="22"/>
        </w:rPr>
        <w:t>7</w:t>
      </w:r>
      <w:r w:rsidR="00D549CF" w:rsidRPr="00F51226">
        <w:rPr>
          <w:color w:val="000000"/>
          <w:spacing w:val="-3"/>
          <w:sz w:val="22"/>
          <w:szCs w:val="22"/>
        </w:rPr>
        <w:t>.</w:t>
      </w:r>
      <w:r w:rsidR="00D549CF">
        <w:rPr>
          <w:color w:val="000000"/>
          <w:spacing w:val="-3"/>
          <w:sz w:val="22"/>
          <w:szCs w:val="22"/>
        </w:rPr>
        <w:t>202</w:t>
      </w:r>
      <w:r w:rsidR="005B69E0">
        <w:rPr>
          <w:color w:val="000000"/>
          <w:spacing w:val="-3"/>
          <w:sz w:val="22"/>
          <w:szCs w:val="22"/>
        </w:rPr>
        <w:t>3</w:t>
      </w:r>
      <w:r>
        <w:rPr>
          <w:color w:val="000000"/>
          <w:spacing w:val="-3"/>
          <w:sz w:val="22"/>
          <w:szCs w:val="22"/>
        </w:rPr>
        <w:t xml:space="preserve">   № 148</w:t>
      </w:r>
      <w:r w:rsidR="00D549CF" w:rsidRPr="00F51226">
        <w:rPr>
          <w:color w:val="000000"/>
          <w:spacing w:val="-3"/>
          <w:sz w:val="22"/>
          <w:szCs w:val="22"/>
        </w:rPr>
        <w:t xml:space="preserve"> </w:t>
      </w:r>
    </w:p>
    <w:p w:rsidR="00D549CF" w:rsidRDefault="00D549CF" w:rsidP="00D549CF">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D549CF" w:rsidRDefault="00D549CF" w:rsidP="00D549CF">
      <w:pPr>
        <w:shd w:val="clear" w:color="auto" w:fill="FFFFFF"/>
        <w:spacing w:line="317" w:lineRule="exact"/>
        <w:jc w:val="center"/>
        <w:rPr>
          <w:color w:val="000000"/>
          <w:spacing w:val="-2"/>
          <w:sz w:val="28"/>
          <w:szCs w:val="28"/>
        </w:rPr>
      </w:pPr>
      <w:r>
        <w:rPr>
          <w:color w:val="000000"/>
          <w:spacing w:val="-2"/>
          <w:sz w:val="28"/>
          <w:szCs w:val="28"/>
        </w:rPr>
        <w:t xml:space="preserve">муниципальной программы Синегорского сельского поселения </w:t>
      </w:r>
    </w:p>
    <w:p w:rsidR="00D549CF" w:rsidRDefault="00D549CF" w:rsidP="00D549CF">
      <w:pPr>
        <w:shd w:val="clear" w:color="auto" w:fill="FFFFFF"/>
        <w:spacing w:line="317" w:lineRule="exact"/>
        <w:jc w:val="center"/>
      </w:pPr>
      <w:r>
        <w:rPr>
          <w:color w:val="000000"/>
          <w:spacing w:val="-2"/>
          <w:sz w:val="28"/>
          <w:szCs w:val="28"/>
        </w:rPr>
        <w:t xml:space="preserve"> </w:t>
      </w:r>
      <w:r>
        <w:rPr>
          <w:color w:val="000000"/>
          <w:spacing w:val="-3"/>
          <w:sz w:val="28"/>
          <w:szCs w:val="28"/>
        </w:rPr>
        <w:t>«</w:t>
      </w:r>
      <w:r>
        <w:rPr>
          <w:sz w:val="28"/>
          <w:szCs w:val="28"/>
        </w:rPr>
        <w:t>Обеспечение общественного порядка и противодействие преступности</w:t>
      </w:r>
      <w:r>
        <w:rPr>
          <w:color w:val="000000"/>
          <w:spacing w:val="-3"/>
          <w:sz w:val="28"/>
          <w:szCs w:val="28"/>
        </w:rPr>
        <w:t xml:space="preserve">» </w:t>
      </w:r>
      <w:r w:rsidR="003D28FA">
        <w:rPr>
          <w:color w:val="000000"/>
          <w:spacing w:val="-2"/>
          <w:sz w:val="28"/>
          <w:szCs w:val="28"/>
        </w:rPr>
        <w:t xml:space="preserve">за </w:t>
      </w:r>
      <w:r>
        <w:rPr>
          <w:color w:val="000000"/>
          <w:spacing w:val="-2"/>
          <w:sz w:val="28"/>
          <w:szCs w:val="28"/>
        </w:rPr>
        <w:t xml:space="preserve"> </w:t>
      </w:r>
      <w:r w:rsidR="005B69E0">
        <w:rPr>
          <w:color w:val="000000"/>
          <w:spacing w:val="-2"/>
          <w:sz w:val="28"/>
          <w:szCs w:val="28"/>
        </w:rPr>
        <w:t>1</w:t>
      </w:r>
      <w:r w:rsidR="00DC0850">
        <w:rPr>
          <w:color w:val="000000"/>
          <w:spacing w:val="-2"/>
          <w:sz w:val="28"/>
          <w:szCs w:val="28"/>
        </w:rPr>
        <w:t xml:space="preserve"> </w:t>
      </w:r>
      <w:r w:rsidR="00D417D9">
        <w:rPr>
          <w:color w:val="000000"/>
          <w:spacing w:val="-2"/>
          <w:sz w:val="28"/>
          <w:szCs w:val="28"/>
        </w:rPr>
        <w:t>полугодие</w:t>
      </w:r>
      <w:r w:rsidR="00DC0850">
        <w:rPr>
          <w:color w:val="000000"/>
          <w:spacing w:val="-2"/>
          <w:sz w:val="28"/>
          <w:szCs w:val="28"/>
        </w:rPr>
        <w:t xml:space="preserve"> </w:t>
      </w:r>
      <w:r>
        <w:rPr>
          <w:color w:val="000000"/>
          <w:spacing w:val="-2"/>
          <w:sz w:val="28"/>
          <w:szCs w:val="28"/>
        </w:rPr>
        <w:t>202</w:t>
      </w:r>
      <w:r w:rsidR="005B69E0">
        <w:rPr>
          <w:color w:val="000000"/>
          <w:spacing w:val="-2"/>
          <w:sz w:val="28"/>
          <w:szCs w:val="28"/>
        </w:rPr>
        <w:t>3</w:t>
      </w:r>
      <w:r>
        <w:rPr>
          <w:color w:val="000000"/>
          <w:spacing w:val="-2"/>
          <w:sz w:val="28"/>
          <w:szCs w:val="28"/>
        </w:rPr>
        <w:t xml:space="preserve"> год</w:t>
      </w:r>
      <w:r w:rsidR="00DC0850">
        <w:rPr>
          <w:color w:val="000000"/>
          <w:spacing w:val="-2"/>
          <w:sz w:val="28"/>
          <w:szCs w:val="28"/>
        </w:rPr>
        <w:t>а</w:t>
      </w:r>
    </w:p>
    <w:p w:rsidR="00D549CF" w:rsidRDefault="00D549CF" w:rsidP="00D549CF">
      <w:pPr>
        <w:spacing w:after="259" w:line="1" w:lineRule="exact"/>
        <w:rPr>
          <w:sz w:val="2"/>
          <w:szCs w:val="2"/>
        </w:rPr>
      </w:pPr>
    </w:p>
    <w:tbl>
      <w:tblPr>
        <w:tblW w:w="5079" w:type="pct"/>
        <w:tblInd w:w="-386" w:type="dxa"/>
        <w:tblCellMar>
          <w:left w:w="40" w:type="dxa"/>
          <w:right w:w="40" w:type="dxa"/>
        </w:tblCellMar>
        <w:tblLook w:val="0000" w:firstRow="0" w:lastRow="0" w:firstColumn="0" w:lastColumn="0" w:noHBand="0" w:noVBand="0"/>
      </w:tblPr>
      <w:tblGrid>
        <w:gridCol w:w="3951"/>
        <w:gridCol w:w="2389"/>
        <w:gridCol w:w="3158"/>
        <w:gridCol w:w="1410"/>
        <w:gridCol w:w="1491"/>
        <w:gridCol w:w="1707"/>
        <w:gridCol w:w="1526"/>
      </w:tblGrid>
      <w:tr w:rsidR="00D549CF" w:rsidTr="00D549CF">
        <w:trPr>
          <w:trHeight w:hRule="exact" w:val="1078"/>
        </w:trPr>
        <w:tc>
          <w:tcPr>
            <w:tcW w:w="1264" w:type="pct"/>
            <w:tcBorders>
              <w:top w:val="single" w:sz="6" w:space="0" w:color="auto"/>
              <w:left w:val="single" w:sz="6" w:space="0" w:color="auto"/>
              <w:bottom w:val="nil"/>
              <w:right w:val="single" w:sz="6" w:space="0" w:color="auto"/>
            </w:tcBorders>
            <w:shd w:val="clear" w:color="auto" w:fill="FFFFFF"/>
          </w:tcPr>
          <w:p w:rsidR="00D549CF" w:rsidRDefault="00D549CF" w:rsidP="001106E5">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764" w:type="pct"/>
            <w:vMerge w:val="restart"/>
            <w:tcBorders>
              <w:top w:val="single" w:sz="6" w:space="0" w:color="auto"/>
              <w:left w:val="single" w:sz="6" w:space="0" w:color="auto"/>
              <w:right w:val="single" w:sz="6" w:space="0" w:color="auto"/>
            </w:tcBorders>
            <w:shd w:val="clear" w:color="auto" w:fill="FFFFFF"/>
          </w:tcPr>
          <w:p w:rsidR="00D549CF" w:rsidRDefault="00D549CF" w:rsidP="001106E5">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D549CF" w:rsidRDefault="00D549CF" w:rsidP="001106E5"/>
          <w:p w:rsidR="00D549CF" w:rsidRDefault="00D549CF" w:rsidP="001106E5"/>
        </w:tc>
        <w:tc>
          <w:tcPr>
            <w:tcW w:w="1010" w:type="pct"/>
            <w:tcBorders>
              <w:top w:val="single" w:sz="6" w:space="0" w:color="auto"/>
              <w:left w:val="single" w:sz="6" w:space="0" w:color="auto"/>
              <w:bottom w:val="nil"/>
              <w:right w:val="single" w:sz="6" w:space="0" w:color="auto"/>
            </w:tcBorders>
            <w:shd w:val="clear" w:color="auto" w:fill="FFFFFF"/>
          </w:tcPr>
          <w:p w:rsidR="00D549CF" w:rsidRPr="00C45599" w:rsidRDefault="00D549CF" w:rsidP="001106E5">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51" w:type="pct"/>
            <w:tcBorders>
              <w:top w:val="single" w:sz="6" w:space="0" w:color="auto"/>
              <w:left w:val="single" w:sz="6" w:space="0" w:color="auto"/>
              <w:bottom w:val="nil"/>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77" w:type="pct"/>
            <w:vMerge w:val="restart"/>
            <w:tcBorders>
              <w:top w:val="single" w:sz="6" w:space="0" w:color="auto"/>
              <w:left w:val="single" w:sz="6" w:space="0" w:color="auto"/>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034" w:type="pct"/>
            <w:gridSpan w:val="2"/>
            <w:tcBorders>
              <w:top w:val="single" w:sz="4" w:space="0" w:color="auto"/>
              <w:bottom w:val="single" w:sz="4" w:space="0" w:color="auto"/>
              <w:right w:val="single" w:sz="4" w:space="0" w:color="auto"/>
            </w:tcBorders>
            <w:shd w:val="clear" w:color="auto" w:fill="auto"/>
          </w:tcPr>
          <w:p w:rsidR="00D549CF" w:rsidRDefault="00D549CF" w:rsidP="001106E5">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D549CF" w:rsidTr="001106E5">
        <w:trPr>
          <w:trHeight w:hRule="exact" w:val="1567"/>
        </w:trPr>
        <w:tc>
          <w:tcPr>
            <w:tcW w:w="1264"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764" w:type="pct"/>
            <w:vMerge/>
            <w:tcBorders>
              <w:left w:val="single" w:sz="6" w:space="0" w:color="auto"/>
              <w:bottom w:val="single" w:sz="6" w:space="0" w:color="auto"/>
              <w:right w:val="single" w:sz="6" w:space="0" w:color="auto"/>
            </w:tcBorders>
            <w:shd w:val="clear" w:color="auto" w:fill="FFFFFF"/>
          </w:tcPr>
          <w:p w:rsidR="00D549CF" w:rsidRDefault="00D549CF" w:rsidP="001106E5"/>
        </w:tc>
        <w:tc>
          <w:tcPr>
            <w:tcW w:w="1010"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451"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477" w:type="pct"/>
            <w:vMerge/>
            <w:tcBorders>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312"/>
              <w:rPr>
                <w:color w:val="000000"/>
                <w:spacing w:val="-7"/>
                <w:sz w:val="24"/>
                <w:szCs w:val="24"/>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D417D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3D28FA">
              <w:rPr>
                <w:rFonts w:ascii="Times New Roman" w:hAnsi="Times New Roman" w:cs="Times New Roman"/>
                <w:sz w:val="24"/>
                <w:szCs w:val="24"/>
              </w:rPr>
              <w:t>0</w:t>
            </w:r>
            <w:r w:rsidR="00D417D9">
              <w:rPr>
                <w:rFonts w:ascii="Times New Roman" w:hAnsi="Times New Roman" w:cs="Times New Roman"/>
                <w:sz w:val="24"/>
                <w:szCs w:val="24"/>
              </w:rPr>
              <w:t>7</w:t>
            </w:r>
            <w:r w:rsidRPr="00DA41E3">
              <w:rPr>
                <w:rFonts w:ascii="Times New Roman" w:hAnsi="Times New Roman" w:cs="Times New Roman"/>
                <w:sz w:val="24"/>
                <w:szCs w:val="24"/>
              </w:rPr>
              <w:t>.</w:t>
            </w:r>
            <w:r>
              <w:rPr>
                <w:rFonts w:ascii="Times New Roman" w:hAnsi="Times New Roman" w:cs="Times New Roman"/>
                <w:sz w:val="24"/>
                <w:szCs w:val="24"/>
              </w:rPr>
              <w:t>202</w:t>
            </w:r>
            <w:r w:rsidR="005B69E0">
              <w:rPr>
                <w:rFonts w:ascii="Times New Roman" w:hAnsi="Times New Roman" w:cs="Times New Roman"/>
                <w:sz w:val="24"/>
                <w:szCs w:val="24"/>
              </w:rPr>
              <w:t>3</w:t>
            </w:r>
          </w:p>
        </w:tc>
      </w:tr>
      <w:tr w:rsidR="00D549CF" w:rsidTr="001106E5">
        <w:trPr>
          <w:trHeight w:hRule="exact" w:val="298"/>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1344"/>
            </w:pPr>
            <w:r>
              <w:rPr>
                <w:color w:val="000000"/>
                <w:sz w:val="24"/>
                <w:szCs w:val="24"/>
              </w:rPr>
              <w:t>2</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3</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4</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28"/>
              <w:rPr>
                <w:color w:val="000000"/>
                <w:sz w:val="24"/>
                <w:szCs w:val="24"/>
              </w:rPr>
            </w:pPr>
            <w:r>
              <w:rPr>
                <w:color w:val="000000"/>
                <w:sz w:val="24"/>
                <w:szCs w:val="24"/>
              </w:rPr>
              <w:t>5</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28"/>
            </w:pPr>
            <w:r>
              <w:rPr>
                <w:color w:val="000000"/>
                <w:sz w:val="24"/>
                <w:szCs w:val="24"/>
              </w:rPr>
              <w:t>6</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14"/>
            </w:pPr>
            <w:r>
              <w:rPr>
                <w:color w:val="000000"/>
                <w:sz w:val="24"/>
                <w:szCs w:val="24"/>
              </w:rPr>
              <w:t>7</w:t>
            </w:r>
          </w:p>
        </w:tc>
      </w:tr>
      <w:tr w:rsidR="00D549CF" w:rsidTr="001106E5">
        <w:trPr>
          <w:trHeight w:hRule="exact" w:val="97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D549CF" w:rsidRPr="00CF4F7F" w:rsidRDefault="00D549CF" w:rsidP="001106E5">
            <w:pPr>
              <w:widowControl w:val="0"/>
              <w:rPr>
                <w:bCs/>
                <w:sz w:val="24"/>
                <w:szCs w:val="24"/>
              </w:rPr>
            </w:pPr>
            <w:r w:rsidRPr="00CF4F7F">
              <w:rPr>
                <w:sz w:val="24"/>
                <w:szCs w:val="24"/>
              </w:rPr>
              <w:t>Подпрограмма 1 «Противодействие коррупции в Синегорском сельском поселении»</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D549CF" w:rsidRPr="00CF4F7F" w:rsidRDefault="00D549CF" w:rsidP="001106E5">
            <w:pPr>
              <w:widowControl w:val="0"/>
              <w:autoSpaceDE w:val="0"/>
              <w:autoSpaceDN w:val="0"/>
              <w:adjustRightInd w:val="0"/>
              <w:rPr>
                <w:sz w:val="24"/>
                <w:szCs w:val="24"/>
              </w:rPr>
            </w:pPr>
            <w:r w:rsidRPr="00CF4F7F">
              <w:rPr>
                <w:sz w:val="24"/>
                <w:szCs w:val="24"/>
              </w:rPr>
              <w:t>Администрация Синегорского сельского поселения</w:t>
            </w:r>
          </w:p>
          <w:p w:rsidR="00D549CF" w:rsidRPr="00CF4F7F" w:rsidRDefault="00D549CF"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rPr>
                <w:sz w:val="24"/>
                <w:szCs w:val="24"/>
              </w:rPr>
            </w:pP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5B69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B69E0">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5B69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5B69E0">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6426D2" w:rsidRDefault="00D549CF" w:rsidP="001106E5">
            <w:pPr>
              <w:shd w:val="clear" w:color="auto" w:fill="FFFFFF"/>
              <w:ind w:left="528"/>
              <w:rPr>
                <w:color w:val="000000"/>
                <w:sz w:val="24"/>
                <w:szCs w:val="24"/>
              </w:rPr>
            </w:pPr>
            <w:r>
              <w:rPr>
                <w:color w:val="000000"/>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6426D2" w:rsidRDefault="00D549CF" w:rsidP="001106E5">
            <w:pPr>
              <w:jc w:val="center"/>
              <w:rPr>
                <w:sz w:val="24"/>
                <w:szCs w:val="24"/>
              </w:rPr>
            </w:pPr>
            <w:r>
              <w:rPr>
                <w:sz w:val="24"/>
                <w:szCs w:val="24"/>
              </w:rPr>
              <w:t>-</w:t>
            </w:r>
          </w:p>
        </w:tc>
      </w:tr>
      <w:tr w:rsidR="005B69E0" w:rsidTr="001106E5">
        <w:trPr>
          <w:trHeight w:hRule="exact" w:val="2831"/>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CF4F7F" w:rsidRDefault="005B69E0" w:rsidP="001106E5">
            <w:pPr>
              <w:widowControl w:val="0"/>
              <w:rPr>
                <w:bCs/>
                <w:sz w:val="24"/>
                <w:szCs w:val="24"/>
              </w:rPr>
            </w:pPr>
            <w:r w:rsidRPr="00CF4F7F">
              <w:rPr>
                <w:bCs/>
                <w:sz w:val="24"/>
                <w:szCs w:val="24"/>
              </w:rPr>
              <w:t>Мероприятие:</w:t>
            </w:r>
          </w:p>
          <w:p w:rsidR="005B69E0" w:rsidRPr="00CF4F7F" w:rsidRDefault="005B69E0" w:rsidP="001106E5">
            <w:pPr>
              <w:widowControl w:val="0"/>
              <w:rPr>
                <w:bCs/>
                <w:sz w:val="24"/>
                <w:szCs w:val="24"/>
              </w:rPr>
            </w:pPr>
            <w:r w:rsidRPr="00CF4F7F">
              <w:rPr>
                <w:bCs/>
                <w:sz w:val="24"/>
                <w:szCs w:val="24"/>
              </w:rPr>
              <w:t xml:space="preserve">Обеспечение прозрачности деятельности аппарата  Администрации Синегорского сельского поселения, принятие мер по повышению эффективности </w:t>
            </w:r>
            <w:r w:rsidRPr="00CF4F7F">
              <w:rPr>
                <w:sz w:val="24"/>
                <w:szCs w:val="24"/>
              </w:rPr>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Pr="00CF4F7F" w:rsidRDefault="005B69E0" w:rsidP="001106E5">
            <w:pPr>
              <w:widowControl w:val="0"/>
              <w:autoSpaceDE w:val="0"/>
              <w:autoSpaceDN w:val="0"/>
              <w:adjustRightInd w:val="0"/>
              <w:rPr>
                <w:sz w:val="24"/>
                <w:szCs w:val="24"/>
              </w:rPr>
            </w:pPr>
            <w:r w:rsidRPr="00CF4F7F">
              <w:rPr>
                <w:sz w:val="24"/>
                <w:szCs w:val="24"/>
              </w:rPr>
              <w:t>Администрация Синегорского сельского поселения</w:t>
            </w:r>
          </w:p>
          <w:p w:rsidR="005B69E0" w:rsidRPr="00CF4F7F"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sidRPr="003D549E">
              <w:rPr>
                <w:sz w:val="24"/>
                <w:szCs w:val="24"/>
              </w:rPr>
              <w:t xml:space="preserve">формирование эффективной кадровой политики на территории </w:t>
            </w:r>
            <w:r>
              <w:rPr>
                <w:sz w:val="24"/>
                <w:szCs w:val="24"/>
              </w:rPr>
              <w:t>Синегорского сельского поселения</w:t>
            </w:r>
            <w:r w:rsidRPr="003D549E">
              <w:rPr>
                <w:sz w:val="24"/>
                <w:szCs w:val="24"/>
              </w:rPr>
              <w:t xml:space="preserve"> по противодействию коррупции</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shd w:val="clear" w:color="auto" w:fill="FFFFFF"/>
              <w:ind w:left="528"/>
              <w:rPr>
                <w:color w:val="000000"/>
                <w:sz w:val="24"/>
                <w:szCs w:val="24"/>
              </w:rPr>
            </w:pPr>
            <w:r>
              <w:rPr>
                <w:color w:val="000000"/>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Tr="001106E5">
        <w:trPr>
          <w:trHeight w:hRule="exact" w:val="2575"/>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010383" w:rsidRDefault="005B69E0" w:rsidP="001106E5">
            <w:pPr>
              <w:widowControl w:val="0"/>
              <w:rPr>
                <w:rFonts w:cs="Arial"/>
                <w:color w:val="000000"/>
                <w:sz w:val="24"/>
                <w:szCs w:val="24"/>
              </w:rPr>
            </w:pPr>
            <w:r>
              <w:rPr>
                <w:bCs/>
                <w:sz w:val="24"/>
                <w:szCs w:val="24"/>
              </w:rPr>
              <w:lastRenderedPageBreak/>
              <w:t>Подпрограмма 2</w:t>
            </w:r>
            <w:r w:rsidRPr="00010383">
              <w:rPr>
                <w:bCs/>
                <w:sz w:val="24"/>
                <w:szCs w:val="24"/>
              </w:rPr>
              <w:t xml:space="preserve"> «</w:t>
            </w:r>
            <w:r w:rsidRPr="00010383">
              <w:rPr>
                <w:rFonts w:cs="Arial"/>
                <w:color w:val="000000"/>
                <w:sz w:val="24"/>
                <w:szCs w:val="24"/>
              </w:rPr>
              <w:t>Профилактика экстремизма и терроризма»</w:t>
            </w:r>
          </w:p>
          <w:p w:rsidR="005B69E0" w:rsidRPr="00010383" w:rsidRDefault="005B69E0" w:rsidP="001106E5">
            <w:pPr>
              <w:widowControl w:val="0"/>
              <w:rPr>
                <w:rFonts w:cs="Arial"/>
                <w:color w:val="000000"/>
                <w:sz w:val="24"/>
                <w:szCs w:val="24"/>
              </w:rPr>
            </w:pPr>
          </w:p>
          <w:p w:rsidR="005B69E0" w:rsidRPr="00010383" w:rsidRDefault="005B69E0" w:rsidP="001106E5">
            <w:pPr>
              <w:shd w:val="clear" w:color="auto" w:fill="FFFFFF"/>
              <w:rPr>
                <w:sz w:val="24"/>
                <w:szCs w:val="24"/>
              </w:rPr>
            </w:pPr>
          </w:p>
          <w:p w:rsidR="005B69E0" w:rsidRPr="00010383" w:rsidRDefault="005B69E0" w:rsidP="001106E5">
            <w:pPr>
              <w:shd w:val="clear" w:color="auto" w:fill="FFFFFF"/>
              <w:rPr>
                <w:color w:val="000000"/>
                <w:sz w:val="24"/>
                <w:szCs w:val="24"/>
              </w:rPr>
            </w:pP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E44838"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Pr>
                <w:sz w:val="24"/>
                <w:szCs w:val="24"/>
              </w:rPr>
              <w:t xml:space="preserve">  -</w:t>
            </w:r>
            <w:r w:rsidRPr="006028C0">
              <w:rPr>
                <w:sz w:val="24"/>
                <w:szCs w:val="24"/>
              </w:rPr>
              <w:t xml:space="preserve">Снижение </w:t>
            </w:r>
            <w:r>
              <w:rPr>
                <w:sz w:val="24"/>
                <w:szCs w:val="24"/>
              </w:rPr>
              <w:t xml:space="preserve"> </w:t>
            </w:r>
            <w:r w:rsidRPr="006028C0">
              <w:rPr>
                <w:sz w:val="24"/>
                <w:szCs w:val="24"/>
              </w:rPr>
              <w:t xml:space="preserve">возможности совершения террористических актов на территории </w:t>
            </w:r>
            <w:r>
              <w:rPr>
                <w:sz w:val="24"/>
                <w:szCs w:val="24"/>
              </w:rPr>
              <w:t>Синегорского</w:t>
            </w:r>
          </w:p>
          <w:p w:rsidR="005B69E0" w:rsidRPr="006028C0" w:rsidRDefault="005B69E0" w:rsidP="001106E5">
            <w:pPr>
              <w:rPr>
                <w:sz w:val="24"/>
                <w:szCs w:val="24"/>
              </w:rPr>
            </w:pPr>
            <w:r w:rsidRPr="006028C0">
              <w:rPr>
                <w:sz w:val="24"/>
                <w:szCs w:val="24"/>
              </w:rPr>
              <w:t xml:space="preserve"> сельского </w:t>
            </w:r>
            <w:r>
              <w:rPr>
                <w:sz w:val="24"/>
                <w:szCs w:val="24"/>
              </w:rPr>
              <w:t>п</w:t>
            </w:r>
            <w:r w:rsidRPr="006028C0">
              <w:rPr>
                <w:sz w:val="24"/>
                <w:szCs w:val="24"/>
              </w:rPr>
              <w:t>оселения.</w:t>
            </w:r>
          </w:p>
          <w:p w:rsidR="005B69E0" w:rsidRPr="006028C0" w:rsidRDefault="005B69E0" w:rsidP="001106E5">
            <w:pPr>
              <w:rPr>
                <w:sz w:val="24"/>
                <w:szCs w:val="24"/>
              </w:rPr>
            </w:pPr>
            <w:r>
              <w:rPr>
                <w:sz w:val="24"/>
                <w:szCs w:val="24"/>
              </w:rPr>
              <w:t xml:space="preserve">  -</w:t>
            </w:r>
            <w:r w:rsidRPr="006028C0">
              <w:rPr>
                <w:sz w:val="24"/>
                <w:szCs w:val="24"/>
              </w:rPr>
              <w:t>Устранение причин и условий, способствующих проявлениям экстремизма;</w:t>
            </w:r>
          </w:p>
          <w:p w:rsidR="005B69E0" w:rsidRPr="006028C0" w:rsidRDefault="005B69E0" w:rsidP="001106E5">
            <w:pPr>
              <w:rPr>
                <w:sz w:val="24"/>
                <w:szCs w:val="24"/>
              </w:rPr>
            </w:pP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shd w:val="clear" w:color="auto" w:fill="FFFFFF"/>
              <w:ind w:left="528"/>
              <w:rPr>
                <w:color w:val="000000"/>
                <w:sz w:val="24"/>
                <w:szCs w:val="24"/>
              </w:rPr>
            </w:pPr>
            <w:r w:rsidRPr="006426D2">
              <w:rPr>
                <w:color w:val="000000"/>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RPr="006028C0" w:rsidTr="00D549CF">
        <w:trPr>
          <w:trHeight w:hRule="exact" w:val="1689"/>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 xml:space="preserve">.1. Предотвращение проявлений терроризма и экстремизма на территории </w:t>
            </w:r>
            <w:r>
              <w:rPr>
                <w:sz w:val="24"/>
                <w:szCs w:val="24"/>
              </w:rPr>
              <w:t>Синегорского</w:t>
            </w:r>
            <w:r w:rsidRPr="006028C0">
              <w:rPr>
                <w:sz w:val="24"/>
                <w:szCs w:val="24"/>
              </w:rPr>
              <w:t xml:space="preserve"> сельского поселения.</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widowControl w:val="0"/>
              <w:rPr>
                <w:rFonts w:cs="Arial"/>
                <w:color w:val="000000"/>
                <w:sz w:val="24"/>
                <w:szCs w:val="24"/>
              </w:rPr>
            </w:pPr>
            <w:r w:rsidRPr="006028C0">
              <w:rPr>
                <w:rFonts w:cs="Arial"/>
                <w:color w:val="000000"/>
                <w:sz w:val="24"/>
                <w:szCs w:val="24"/>
              </w:rPr>
              <w:t>Снижение риска проявлений экстремизма и терроризма</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sidRPr="006426D2">
              <w:rPr>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RPr="006028C0" w:rsidTr="001106E5">
        <w:trPr>
          <w:trHeight w:hRule="exact" w:val="177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 xml:space="preserve">.2. </w:t>
            </w:r>
            <w:r w:rsidRPr="005221A4">
              <w:rPr>
                <w:color w:val="000000"/>
                <w:sz w:val="24"/>
                <w:szCs w:val="24"/>
              </w:rPr>
              <w:t>изготовление и распространение печатной продукции направленной на противодействие терроризму, экстремизму (буклеты, памятки, листовки и т.д.)</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widowControl w:val="0"/>
              <w:rPr>
                <w:rFonts w:cs="Arial"/>
                <w:color w:val="000000"/>
                <w:sz w:val="24"/>
                <w:szCs w:val="24"/>
              </w:rPr>
            </w:pPr>
            <w:r w:rsidRPr="006028C0">
              <w:rPr>
                <w:rFonts w:cs="Arial"/>
                <w:color w:val="000000"/>
                <w:sz w:val="24"/>
                <w:szCs w:val="24"/>
              </w:rPr>
              <w:t>Снижение риска террористических актов</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3D28FA">
            <w:pPr>
              <w:jc w:val="center"/>
              <w:rPr>
                <w:sz w:val="24"/>
                <w:szCs w:val="24"/>
              </w:rPr>
            </w:pPr>
            <w:r>
              <w:rPr>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3D28FA">
            <w:pPr>
              <w:jc w:val="center"/>
              <w:rPr>
                <w:sz w:val="24"/>
                <w:szCs w:val="24"/>
              </w:rPr>
            </w:pPr>
            <w:r w:rsidRPr="006426D2">
              <w:rPr>
                <w:sz w:val="24"/>
                <w:szCs w:val="24"/>
              </w:rPr>
              <w:t>-</w:t>
            </w:r>
          </w:p>
        </w:tc>
      </w:tr>
      <w:tr w:rsidR="005B69E0" w:rsidRPr="006028C0" w:rsidTr="00D549CF">
        <w:trPr>
          <w:trHeight w:hRule="exact" w:val="263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sidRPr="006028C0">
              <w:rPr>
                <w:sz w:val="24"/>
                <w:szCs w:val="24"/>
              </w:rPr>
              <w:t>Основное мероприя</w:t>
            </w:r>
            <w:r>
              <w:rPr>
                <w:sz w:val="24"/>
                <w:szCs w:val="24"/>
              </w:rPr>
              <w:t>тие 1</w:t>
            </w:r>
            <w:r w:rsidRPr="006028C0">
              <w:rPr>
                <w:sz w:val="24"/>
                <w:szCs w:val="24"/>
              </w:rPr>
              <w:t>.3. Проведение пропа</w:t>
            </w:r>
            <w:r>
              <w:rPr>
                <w:sz w:val="24"/>
                <w:szCs w:val="24"/>
              </w:rPr>
              <w:t>гандистской работы с населением</w:t>
            </w:r>
            <w:r w:rsidRPr="006028C0">
              <w:rPr>
                <w:sz w:val="24"/>
                <w:szCs w:val="24"/>
              </w:rPr>
              <w:t>, направленной на предупреждение террористической и экстремистской деятельности, повышение бдительности населения</w:t>
            </w:r>
          </w:p>
          <w:p w:rsidR="005B69E0" w:rsidRPr="006028C0" w:rsidRDefault="005B69E0" w:rsidP="001106E5">
            <w:pPr>
              <w:rPr>
                <w:sz w:val="24"/>
                <w:szCs w:val="24"/>
              </w:rPr>
            </w:pPr>
          </w:p>
          <w:p w:rsidR="005B69E0" w:rsidRPr="006028C0" w:rsidRDefault="005B69E0" w:rsidP="001106E5">
            <w:pPr>
              <w:rPr>
                <w:sz w:val="24"/>
                <w:szCs w:val="24"/>
              </w:rPr>
            </w:pP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Default="005B69E0" w:rsidP="001106E5">
            <w:pPr>
              <w:rPr>
                <w:sz w:val="24"/>
                <w:szCs w:val="24"/>
              </w:rPr>
            </w:pPr>
            <w:r>
              <w:rPr>
                <w:sz w:val="24"/>
                <w:szCs w:val="24"/>
              </w:rPr>
              <w:t>Директор МБУК «Синегорская КС»</w:t>
            </w:r>
          </w:p>
          <w:p w:rsidR="005B69E0" w:rsidRPr="006028C0" w:rsidRDefault="005B69E0" w:rsidP="001106E5">
            <w:pPr>
              <w:rPr>
                <w:sz w:val="24"/>
                <w:szCs w:val="24"/>
              </w:rPr>
            </w:pPr>
            <w:r>
              <w:rPr>
                <w:sz w:val="24"/>
                <w:szCs w:val="24"/>
              </w:rPr>
              <w:t>Довгаль Т.А.</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9274DF" w:rsidRDefault="005B69E0" w:rsidP="001106E5">
            <w:pPr>
              <w:pStyle w:val="ae"/>
              <w:snapToGrid w:val="0"/>
              <w:ind w:firstLine="0"/>
              <w:rPr>
                <w:rFonts w:ascii="Times New Roman" w:hAnsi="Times New Roman"/>
                <w:color w:val="000000"/>
              </w:rPr>
            </w:pPr>
            <w:r w:rsidRPr="009274DF">
              <w:rPr>
                <w:rFonts w:ascii="Times New Roman" w:hAnsi="Times New Roman"/>
                <w:color w:val="000000"/>
              </w:rPr>
              <w:t xml:space="preserve">Повышение правовой культуры </w:t>
            </w:r>
            <w:r>
              <w:rPr>
                <w:rFonts w:ascii="Times New Roman" w:hAnsi="Times New Roman"/>
                <w:color w:val="000000"/>
              </w:rPr>
              <w:t>населения в вопросах противодействия экстремизму и терроризму</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3D28FA">
            <w:pPr>
              <w:jc w:val="center"/>
              <w:rPr>
                <w:sz w:val="24"/>
                <w:szCs w:val="24"/>
              </w:rPr>
            </w:pPr>
            <w:r>
              <w:rPr>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3D28FA">
            <w:pPr>
              <w:jc w:val="center"/>
              <w:rPr>
                <w:sz w:val="24"/>
                <w:szCs w:val="24"/>
              </w:rPr>
            </w:pPr>
            <w:r>
              <w:rPr>
                <w:sz w:val="24"/>
                <w:szCs w:val="24"/>
              </w:rPr>
              <w:t>-</w:t>
            </w:r>
          </w:p>
        </w:tc>
      </w:tr>
      <w:tr w:rsidR="005B69E0" w:rsidRPr="006028C0" w:rsidTr="001106E5">
        <w:trPr>
          <w:trHeight w:hRule="exact" w:val="1118"/>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.4. Достижение взаимопонимания и взаимного уважения в вопросах межэтнического и межкультурного сотрудничества</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Pr>
                <w:sz w:val="24"/>
                <w:szCs w:val="24"/>
              </w:rPr>
              <w:t>Директор МБУК «Синегорская КС»</w:t>
            </w:r>
          </w:p>
          <w:p w:rsidR="005B69E0" w:rsidRDefault="005B69E0" w:rsidP="00D549CF">
            <w:pPr>
              <w:rPr>
                <w:sz w:val="24"/>
                <w:szCs w:val="24"/>
              </w:rPr>
            </w:pPr>
            <w:r>
              <w:rPr>
                <w:sz w:val="24"/>
                <w:szCs w:val="24"/>
              </w:rPr>
              <w:t>Довгаль Т.А.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9274DF" w:rsidRDefault="005B69E0" w:rsidP="001106E5">
            <w:pPr>
              <w:pStyle w:val="ae"/>
              <w:snapToGrid w:val="0"/>
              <w:ind w:firstLine="0"/>
              <w:rPr>
                <w:rFonts w:ascii="Times New Roman" w:hAnsi="Times New Roman"/>
                <w:color w:val="000000"/>
              </w:rPr>
            </w:pPr>
            <w:r>
              <w:rPr>
                <w:rFonts w:ascii="Times New Roman" w:hAnsi="Times New Roman"/>
                <w:color w:val="000000"/>
              </w:rPr>
              <w:t>Знакомство с культурой народов, проживающих на территории поселения</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jc w:val="center"/>
            </w:pPr>
            <w: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jc w:val="center"/>
            </w:pPr>
            <w:r>
              <w:t>-</w:t>
            </w:r>
          </w:p>
        </w:tc>
      </w:tr>
      <w:tr w:rsidR="00D549CF" w:rsidRPr="006028C0" w:rsidTr="00D549CF">
        <w:trPr>
          <w:trHeight w:hRule="exact" w:val="544"/>
        </w:trPr>
        <w:tc>
          <w:tcPr>
            <w:tcW w:w="3966" w:type="pct"/>
            <w:gridSpan w:val="5"/>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549CF" w:rsidP="001106E5">
            <w:pPr>
              <w:rPr>
                <w:b/>
                <w:sz w:val="24"/>
                <w:szCs w:val="24"/>
              </w:rPr>
            </w:pPr>
            <w:r w:rsidRPr="004F3B12">
              <w:rPr>
                <w:b/>
                <w:sz w:val="24"/>
                <w:szCs w:val="24"/>
              </w:rPr>
              <w:t>Итого по муниципальной программе</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549CF" w:rsidP="001106E5">
            <w:pPr>
              <w:jc w:val="center"/>
              <w:rPr>
                <w:b/>
                <w:sz w:val="24"/>
                <w:szCs w:val="24"/>
              </w:rPr>
            </w:pPr>
            <w:r w:rsidRPr="004F3B12">
              <w:rPr>
                <w:b/>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C0850" w:rsidP="001106E5">
            <w:pPr>
              <w:jc w:val="center"/>
              <w:rPr>
                <w:b/>
                <w:sz w:val="24"/>
                <w:szCs w:val="24"/>
              </w:rPr>
            </w:pPr>
            <w:r>
              <w:rPr>
                <w:b/>
                <w:sz w:val="24"/>
                <w:szCs w:val="24"/>
              </w:rPr>
              <w:t>-</w:t>
            </w:r>
          </w:p>
        </w:tc>
      </w:tr>
    </w:tbl>
    <w:p w:rsidR="00D549CF" w:rsidRPr="006028C0" w:rsidRDefault="00D549CF" w:rsidP="00D549CF">
      <w:pPr>
        <w:rPr>
          <w:sz w:val="24"/>
          <w:szCs w:val="24"/>
        </w:rPr>
      </w:pPr>
    </w:p>
    <w:p w:rsidR="00840E83" w:rsidRPr="004013CE" w:rsidRDefault="00762A20" w:rsidP="00D549CF">
      <w:pPr>
        <w:rPr>
          <w:sz w:val="28"/>
          <w:szCs w:val="28"/>
        </w:rPr>
      </w:pPr>
      <w:r>
        <w:rPr>
          <w:sz w:val="28"/>
          <w:szCs w:val="28"/>
        </w:rPr>
        <w:t>Заведующий</w:t>
      </w:r>
      <w:bookmarkStart w:id="0" w:name="_GoBack"/>
      <w:bookmarkEnd w:id="0"/>
      <w:r w:rsidR="00D549CF">
        <w:rPr>
          <w:sz w:val="28"/>
          <w:szCs w:val="28"/>
        </w:rPr>
        <w:t xml:space="preserve"> сектором по общим и земельно-правовым вопросам                                                С.П. Беседина</w:t>
      </w:r>
    </w:p>
    <w:sectPr w:rsidR="00840E83" w:rsidRPr="004013CE" w:rsidSect="00D549CF">
      <w:footerReference w:type="even" r:id="rId9"/>
      <w:footerReference w:type="default" r:id="rId10"/>
      <w:pgSz w:w="16840" w:h="11907" w:orient="landscape" w:code="9"/>
      <w:pgMar w:top="426" w:right="397" w:bottom="284" w:left="1134"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CD" w:rsidRDefault="004A24CD">
      <w:r>
        <w:separator/>
      </w:r>
    </w:p>
  </w:endnote>
  <w:endnote w:type="continuationSeparator" w:id="0">
    <w:p w:rsidR="004A24CD" w:rsidRDefault="004A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29" w:rsidRDefault="00285E29">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85E29" w:rsidRDefault="00285E2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29" w:rsidRDefault="00285E29">
    <w:pPr>
      <w:pStyle w:val="a5"/>
      <w:ind w:right="360"/>
    </w:pPr>
  </w:p>
  <w:p w:rsidR="00285E29" w:rsidRDefault="00285E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CD" w:rsidRDefault="004A24CD">
      <w:r>
        <w:separator/>
      </w:r>
    </w:p>
  </w:footnote>
  <w:footnote w:type="continuationSeparator" w:id="0">
    <w:p w:rsidR="004A24CD" w:rsidRDefault="004A2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441C"/>
    <w:rsid w:val="000158BF"/>
    <w:rsid w:val="00015A54"/>
    <w:rsid w:val="000216B3"/>
    <w:rsid w:val="000471FC"/>
    <w:rsid w:val="000A6759"/>
    <w:rsid w:val="000C58F9"/>
    <w:rsid w:val="000D3B23"/>
    <w:rsid w:val="000E475E"/>
    <w:rsid w:val="000E60BF"/>
    <w:rsid w:val="000F230F"/>
    <w:rsid w:val="0010363A"/>
    <w:rsid w:val="0010552D"/>
    <w:rsid w:val="001060E7"/>
    <w:rsid w:val="001106E5"/>
    <w:rsid w:val="0012043E"/>
    <w:rsid w:val="001502DA"/>
    <w:rsid w:val="001520D2"/>
    <w:rsid w:val="001609E1"/>
    <w:rsid w:val="001B5B79"/>
    <w:rsid w:val="001C57BB"/>
    <w:rsid w:val="001C5EAC"/>
    <w:rsid w:val="001E04D5"/>
    <w:rsid w:val="001F1FBC"/>
    <w:rsid w:val="00204424"/>
    <w:rsid w:val="00214F42"/>
    <w:rsid w:val="00222438"/>
    <w:rsid w:val="002348F9"/>
    <w:rsid w:val="002351C8"/>
    <w:rsid w:val="00267FC6"/>
    <w:rsid w:val="00276A73"/>
    <w:rsid w:val="00277768"/>
    <w:rsid w:val="002814F4"/>
    <w:rsid w:val="00285E29"/>
    <w:rsid w:val="00291A48"/>
    <w:rsid w:val="00291FA8"/>
    <w:rsid w:val="00292AAD"/>
    <w:rsid w:val="002A31AB"/>
    <w:rsid w:val="002C22FE"/>
    <w:rsid w:val="002D0662"/>
    <w:rsid w:val="002D1957"/>
    <w:rsid w:val="002E41F0"/>
    <w:rsid w:val="002F03F0"/>
    <w:rsid w:val="002F4549"/>
    <w:rsid w:val="00300BF3"/>
    <w:rsid w:val="00316F5D"/>
    <w:rsid w:val="00340042"/>
    <w:rsid w:val="0034565A"/>
    <w:rsid w:val="003804F3"/>
    <w:rsid w:val="003852EA"/>
    <w:rsid w:val="003C55CF"/>
    <w:rsid w:val="003D28FA"/>
    <w:rsid w:val="003D37B3"/>
    <w:rsid w:val="003D5D5B"/>
    <w:rsid w:val="003D6E68"/>
    <w:rsid w:val="003F2FFA"/>
    <w:rsid w:val="004013CE"/>
    <w:rsid w:val="00424C89"/>
    <w:rsid w:val="004404B6"/>
    <w:rsid w:val="00486EE5"/>
    <w:rsid w:val="004922EE"/>
    <w:rsid w:val="004A24CD"/>
    <w:rsid w:val="004B52BE"/>
    <w:rsid w:val="004C4E7B"/>
    <w:rsid w:val="004C53BB"/>
    <w:rsid w:val="004C79B2"/>
    <w:rsid w:val="004C7FED"/>
    <w:rsid w:val="004E618A"/>
    <w:rsid w:val="004F6D43"/>
    <w:rsid w:val="00525494"/>
    <w:rsid w:val="005308CE"/>
    <w:rsid w:val="00544078"/>
    <w:rsid w:val="005521D2"/>
    <w:rsid w:val="005540A5"/>
    <w:rsid w:val="00562937"/>
    <w:rsid w:val="005736AE"/>
    <w:rsid w:val="0058168B"/>
    <w:rsid w:val="00586635"/>
    <w:rsid w:val="005B1FCA"/>
    <w:rsid w:val="005B4FD6"/>
    <w:rsid w:val="005B69E0"/>
    <w:rsid w:val="005C08A3"/>
    <w:rsid w:val="005C43E6"/>
    <w:rsid w:val="005C4AD2"/>
    <w:rsid w:val="005D3BFF"/>
    <w:rsid w:val="005E4900"/>
    <w:rsid w:val="006028C0"/>
    <w:rsid w:val="00640315"/>
    <w:rsid w:val="006426D2"/>
    <w:rsid w:val="00650610"/>
    <w:rsid w:val="00667B36"/>
    <w:rsid w:val="0069380E"/>
    <w:rsid w:val="006A56C0"/>
    <w:rsid w:val="006B3990"/>
    <w:rsid w:val="006D6D61"/>
    <w:rsid w:val="006E2948"/>
    <w:rsid w:val="006E3535"/>
    <w:rsid w:val="006E363D"/>
    <w:rsid w:val="00762A20"/>
    <w:rsid w:val="00762DA6"/>
    <w:rsid w:val="007A2188"/>
    <w:rsid w:val="007C5B53"/>
    <w:rsid w:val="007F076B"/>
    <w:rsid w:val="007F201D"/>
    <w:rsid w:val="00804706"/>
    <w:rsid w:val="00811177"/>
    <w:rsid w:val="00816F72"/>
    <w:rsid w:val="0082532F"/>
    <w:rsid w:val="00837F5C"/>
    <w:rsid w:val="00840E83"/>
    <w:rsid w:val="00841A38"/>
    <w:rsid w:val="00895857"/>
    <w:rsid w:val="008969EC"/>
    <w:rsid w:val="00897296"/>
    <w:rsid w:val="008B49A3"/>
    <w:rsid w:val="008C3271"/>
    <w:rsid w:val="008D1AB0"/>
    <w:rsid w:val="008D35B5"/>
    <w:rsid w:val="008D704B"/>
    <w:rsid w:val="008D7D1A"/>
    <w:rsid w:val="008E76A5"/>
    <w:rsid w:val="008F6432"/>
    <w:rsid w:val="008F7F3C"/>
    <w:rsid w:val="00907668"/>
    <w:rsid w:val="0091748C"/>
    <w:rsid w:val="00927901"/>
    <w:rsid w:val="00956818"/>
    <w:rsid w:val="00980B9B"/>
    <w:rsid w:val="009A68DB"/>
    <w:rsid w:val="009C23D2"/>
    <w:rsid w:val="009C2F53"/>
    <w:rsid w:val="009F17A9"/>
    <w:rsid w:val="00A3481C"/>
    <w:rsid w:val="00A36E8B"/>
    <w:rsid w:val="00A5665C"/>
    <w:rsid w:val="00AA2501"/>
    <w:rsid w:val="00AA6A85"/>
    <w:rsid w:val="00AA6AA2"/>
    <w:rsid w:val="00AF2C5D"/>
    <w:rsid w:val="00B72483"/>
    <w:rsid w:val="00B9365C"/>
    <w:rsid w:val="00BA038C"/>
    <w:rsid w:val="00BA57B9"/>
    <w:rsid w:val="00BD34DA"/>
    <w:rsid w:val="00BD6FF7"/>
    <w:rsid w:val="00BE0A57"/>
    <w:rsid w:val="00BE2484"/>
    <w:rsid w:val="00C044AE"/>
    <w:rsid w:val="00C10027"/>
    <w:rsid w:val="00C35A2F"/>
    <w:rsid w:val="00CA6CD6"/>
    <w:rsid w:val="00CD3048"/>
    <w:rsid w:val="00CD4001"/>
    <w:rsid w:val="00CE1B20"/>
    <w:rsid w:val="00CF598A"/>
    <w:rsid w:val="00D417D9"/>
    <w:rsid w:val="00D549CF"/>
    <w:rsid w:val="00D6318B"/>
    <w:rsid w:val="00D7002C"/>
    <w:rsid w:val="00D91CBA"/>
    <w:rsid w:val="00D970F0"/>
    <w:rsid w:val="00DA3FA1"/>
    <w:rsid w:val="00DB3414"/>
    <w:rsid w:val="00DC0850"/>
    <w:rsid w:val="00DC2027"/>
    <w:rsid w:val="00DD176F"/>
    <w:rsid w:val="00DD1A52"/>
    <w:rsid w:val="00DF50A0"/>
    <w:rsid w:val="00E44838"/>
    <w:rsid w:val="00E812BD"/>
    <w:rsid w:val="00EB7606"/>
    <w:rsid w:val="00ED4A0D"/>
    <w:rsid w:val="00EF1B94"/>
    <w:rsid w:val="00EF3D3D"/>
    <w:rsid w:val="00EF6F08"/>
    <w:rsid w:val="00F04E9D"/>
    <w:rsid w:val="00F10740"/>
    <w:rsid w:val="00F82151"/>
    <w:rsid w:val="00F831C7"/>
    <w:rsid w:val="00F836DA"/>
    <w:rsid w:val="00F85909"/>
    <w:rsid w:val="00F94638"/>
    <w:rsid w:val="00FB00FA"/>
    <w:rsid w:val="00FB60FA"/>
    <w:rsid w:val="00FC5302"/>
    <w:rsid w:val="00FC7CB6"/>
    <w:rsid w:val="00FD35EE"/>
    <w:rsid w:val="00FE2C2F"/>
    <w:rsid w:val="00FF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semiHidden/>
    <w:pPr>
      <w:tabs>
        <w:tab w:val="center" w:pos="4153"/>
        <w:tab w:val="right" w:pos="8306"/>
      </w:tabs>
    </w:pPr>
  </w:style>
  <w:style w:type="paragraph" w:styleId="a7">
    <w:name w:val="header"/>
    <w:basedOn w:val="a"/>
    <w:semiHidden/>
    <w:pPr>
      <w:tabs>
        <w:tab w:val="center" w:pos="4153"/>
        <w:tab w:val="right" w:pos="8306"/>
      </w:tabs>
    </w:pPr>
  </w:style>
  <w:style w:type="character" w:customStyle="1" w:styleId="a8">
    <w:name w:val="Верхний колонтитул Знак"/>
    <w:semiHidden/>
    <w:rPr>
      <w:lang w:val="ru-RU" w:eastAsia="ru-RU" w:bidi="ar-SA"/>
    </w:rPr>
  </w:style>
  <w:style w:type="character" w:styleId="a9">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b">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c">
    <w:name w:val="Title"/>
    <w:basedOn w:val="a"/>
    <w:qFormat/>
    <w:pPr>
      <w:widowControl w:val="0"/>
      <w:autoSpaceDE w:val="0"/>
      <w:autoSpaceDN w:val="0"/>
      <w:adjustRightInd w:val="0"/>
      <w:jc w:val="center"/>
    </w:pPr>
    <w:rPr>
      <w:b/>
      <w:sz w:val="28"/>
      <w:szCs w:val="32"/>
    </w:rPr>
  </w:style>
  <w:style w:type="character" w:customStyle="1" w:styleId="ad">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D549CF"/>
  </w:style>
  <w:style w:type="paragraph" w:customStyle="1" w:styleId="ConsPlusCell">
    <w:name w:val="ConsPlusCell"/>
    <w:uiPriority w:val="99"/>
    <w:rsid w:val="00D549CF"/>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811177"/>
    <w:rPr>
      <w:rFonts w:ascii="Tahoma" w:hAnsi="Tahoma" w:cs="Tahoma"/>
      <w:sz w:val="16"/>
      <w:szCs w:val="16"/>
    </w:rPr>
  </w:style>
  <w:style w:type="character" w:customStyle="1" w:styleId="af0">
    <w:name w:val="Текст выноски Знак"/>
    <w:basedOn w:val="a0"/>
    <w:link w:val="af"/>
    <w:uiPriority w:val="99"/>
    <w:semiHidden/>
    <w:rsid w:val="00811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2586">
      <w:bodyDiv w:val="1"/>
      <w:marLeft w:val="0"/>
      <w:marRight w:val="0"/>
      <w:marTop w:val="0"/>
      <w:marBottom w:val="0"/>
      <w:divBdr>
        <w:top w:val="none" w:sz="0" w:space="0" w:color="auto"/>
        <w:left w:val="none" w:sz="0" w:space="0" w:color="auto"/>
        <w:bottom w:val="none" w:sz="0" w:space="0" w:color="auto"/>
        <w:right w:val="none" w:sz="0" w:space="0" w:color="auto"/>
      </w:divBdr>
    </w:div>
    <w:div w:id="571231246">
      <w:bodyDiv w:val="1"/>
      <w:marLeft w:val="0"/>
      <w:marRight w:val="0"/>
      <w:marTop w:val="0"/>
      <w:marBottom w:val="0"/>
      <w:divBdr>
        <w:top w:val="none" w:sz="0" w:space="0" w:color="auto"/>
        <w:left w:val="none" w:sz="0" w:space="0" w:color="auto"/>
        <w:bottom w:val="none" w:sz="0" w:space="0" w:color="auto"/>
        <w:right w:val="none" w:sz="0" w:space="0" w:color="auto"/>
      </w:divBdr>
    </w:div>
    <w:div w:id="602568252">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380395234">
      <w:bodyDiv w:val="1"/>
      <w:marLeft w:val="0"/>
      <w:marRight w:val="0"/>
      <w:marTop w:val="0"/>
      <w:marBottom w:val="0"/>
      <w:divBdr>
        <w:top w:val="none" w:sz="0" w:space="0" w:color="auto"/>
        <w:left w:val="none" w:sz="0" w:space="0" w:color="auto"/>
        <w:bottom w:val="none" w:sz="0" w:space="0" w:color="auto"/>
        <w:right w:val="none" w:sz="0" w:space="0" w:color="auto"/>
      </w:divBdr>
    </w:div>
    <w:div w:id="1592080675">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21058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10</TotalTime>
  <Pages>1</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2022-08-10T06:22:00Z</cp:lastPrinted>
  <dcterms:created xsi:type="dcterms:W3CDTF">2023-07-25T11:11:00Z</dcterms:created>
  <dcterms:modified xsi:type="dcterms:W3CDTF">2023-09-15T06:53:00Z</dcterms:modified>
</cp:coreProperties>
</file>