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6F" w:rsidRPr="00BA096F" w:rsidRDefault="00BA096F" w:rsidP="00BA096F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BA096F">
        <w:rPr>
          <w:b w:val="0"/>
          <w:szCs w:val="28"/>
        </w:rPr>
        <w:t>РОССИЙСКАЯ  ФЕДЕРАЦИЯ</w:t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>РОСТОВСКАЯ ОБЛАСТЬ</w:t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 xml:space="preserve">МУНИЦИПАЛЬНОЕ ОБРАЗОВАНИЕ </w:t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>«СИНЕГОРСКОЕ СЕЛЬСКОЕ ПОСЕЛЕНИЕ»</w:t>
      </w:r>
    </w:p>
    <w:p w:rsidR="00BA096F" w:rsidRPr="00BA096F" w:rsidRDefault="00BA096F" w:rsidP="00BA096F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>АДМИНИСТРАЦИЯ СИНЕГОРСКОГО СЕЛЬСКОГО ПОСЕЛЕНИЯ</w:t>
      </w:r>
    </w:p>
    <w:p w:rsidR="00BA096F" w:rsidRPr="00BA096F" w:rsidRDefault="00BA096F" w:rsidP="00BA09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1"/>
        <w:spacing w:before="120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ПОСТАНОВЛЕНИЕ</w:t>
      </w:r>
    </w:p>
    <w:p w:rsidR="00BA096F" w:rsidRPr="00BA096F" w:rsidRDefault="00DD7A7E" w:rsidP="00BA09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13.11.2020 г.    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174</w:t>
      </w:r>
    </w:p>
    <w:p w:rsidR="00BA096F" w:rsidRPr="00BA096F" w:rsidRDefault="00BA096F" w:rsidP="00BA096F">
      <w:pPr>
        <w:spacing w:before="12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п. Синегорский</w:t>
      </w:r>
    </w:p>
    <w:p w:rsidR="00BA096F" w:rsidRPr="00BA096F" w:rsidRDefault="00BA096F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A096F" w:rsidRPr="00BA096F" w:rsidRDefault="00BA096F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даче</w:t>
      </w:r>
    </w:p>
    <w:p w:rsidR="00BA096F" w:rsidRPr="00BA096F" w:rsidRDefault="00BA096F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письменных разъяснений налогоплательщикам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A096F" w:rsidRPr="00BA096F" w:rsidRDefault="00BA096F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вопросам применения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нормативных</w:t>
      </w:r>
    </w:p>
    <w:p w:rsidR="00BA096F" w:rsidRPr="00BA096F" w:rsidRDefault="00BA096F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</w:p>
    <w:p w:rsidR="00BA096F" w:rsidRPr="00BA096F" w:rsidRDefault="00BA096F" w:rsidP="00BA096F">
      <w:pPr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 Администрация Синегорского сельского поселения </w:t>
      </w:r>
      <w:r w:rsidRPr="00BA096F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BA096F">
        <w:rPr>
          <w:rFonts w:ascii="Times New Roman" w:hAnsi="Times New Roman"/>
          <w:sz w:val="28"/>
          <w:szCs w:val="28"/>
        </w:rPr>
        <w:t>Администрацией Синегорского сельского поселения</w:t>
      </w:r>
      <w:r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Синегорского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Т.А. </w:t>
      </w:r>
      <w:proofErr w:type="spellStart"/>
      <w:r w:rsidRPr="0029284D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AF7C35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096F" w:rsidRPr="00BA096F" w:rsidRDefault="00AF7C35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A096F" w:rsidRPr="00BA096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BA096F" w:rsidRPr="00BA096F" w:rsidRDefault="00AF7C35" w:rsidP="00AF7C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D7A7E">
        <w:rPr>
          <w:rFonts w:ascii="Times New Roman" w:hAnsi="Times New Roman" w:cs="Times New Roman"/>
          <w:sz w:val="28"/>
          <w:szCs w:val="28"/>
        </w:rPr>
        <w:t xml:space="preserve">                         от «13» ноября </w:t>
      </w:r>
      <w:r>
        <w:rPr>
          <w:rFonts w:ascii="Times New Roman" w:hAnsi="Times New Roman" w:cs="Times New Roman"/>
          <w:sz w:val="28"/>
          <w:szCs w:val="28"/>
        </w:rPr>
        <w:t>2020 г.  №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DD7A7E">
        <w:rPr>
          <w:rFonts w:ascii="Times New Roman" w:hAnsi="Times New Roman" w:cs="Times New Roman"/>
          <w:sz w:val="28"/>
          <w:szCs w:val="28"/>
        </w:rPr>
        <w:t>174</w:t>
      </w:r>
    </w:p>
    <w:p w:rsidR="00BA096F" w:rsidRPr="00BA096F" w:rsidRDefault="00BA096F" w:rsidP="00BA096F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AF7C35" w:rsidP="00AF7C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A096F"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P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:rsidR="00BA096F" w:rsidRPr="00BA096F" w:rsidRDefault="00BA096F" w:rsidP="00BA096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AF7C3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Синегорского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>
        <w:rPr>
          <w:rFonts w:ascii="Times New Roman" w:hAnsi="Times New Roman" w:cs="Times New Roman"/>
          <w:sz w:val="28"/>
          <w:szCs w:val="28"/>
        </w:rPr>
        <w:t xml:space="preserve">347027, Ростовская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Белокалитвинский</w:t>
      </w:r>
      <w:proofErr w:type="spell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п. Синегорский, ул. Маяковского, д.6.</w:t>
      </w:r>
    </w:p>
    <w:p w:rsidR="00BA096F" w:rsidRPr="00BA096F" w:rsidRDefault="00BA096F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: с понедельника по пятницу с 8.00 до 16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>
        <w:rPr>
          <w:rFonts w:ascii="Times New Roman" w:hAnsi="Times New Roman" w:cs="Times New Roman"/>
          <w:sz w:val="28"/>
          <w:szCs w:val="28"/>
        </w:rPr>
        <w:t>льная услуга предоставляется с 8.00 до 15.00 часов, перерыв с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AF7C35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(86383) 3-30-61, 5-23-69</w:t>
      </w:r>
      <w:r w:rsidR="00BA096F"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AF7C35" w:rsidRPr="00AF7C35">
        <w:t xml:space="preserve"> </w:t>
      </w:r>
      <w:r w:rsidR="00AF7C35" w:rsidRPr="00AF7C3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https://www.adm-sinegorka.ru/ </w:t>
      </w: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096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BA096F">
        <w:rPr>
          <w:rFonts w:ascii="Times New Roman" w:hAnsi="Times New Roman" w:cs="Times New Roman"/>
          <w:sz w:val="28"/>
          <w:szCs w:val="28"/>
        </w:rPr>
        <w:t xml:space="preserve"> – единый Портал государственных и муниципальных услуг (функций) Российской Федерации;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полный почтовый адрес заявителя, по которому должен быть направлен ответ;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BA096F">
        <w:rPr>
          <w:rFonts w:ascii="Times New Roman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2.8.6. Если обращение содержит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064C2"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Синегорского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объеме. 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3.1. Последовательность административных процедур.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3.1.2. Рассмотрение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A096F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После подписания ответа специалист, ответственный за прием и регистрацию документов, регистрирует ответ в журнале регистрации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законодательством РФ.</w:t>
      </w:r>
    </w:p>
    <w:p w:rsidR="00BA096F" w:rsidRPr="00BA096F" w:rsidRDefault="00BA096F" w:rsidP="00BA096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указанном случае досудебное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proofErr w:type="gramStart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</w:t>
        </w:r>
        <w:proofErr w:type="gramEnd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:rsidR="00BA096F" w:rsidRPr="00BA096F" w:rsidRDefault="00BA096F" w:rsidP="00BA096F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  <w:proofErr w:type="gramEnd"/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BA096F" w:rsidRPr="00BA096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Приложение 2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0D12D0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D12D0"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0D12D0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D12D0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0D12D0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7" w:name="_GoBack"/>
      <w:bookmarkEnd w:id="7"/>
      <w:r w:rsidRPr="000D12D0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6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96F"/>
    <w:rsid w:val="000D12D0"/>
    <w:rsid w:val="001064C2"/>
    <w:rsid w:val="002D46BC"/>
    <w:rsid w:val="002E0133"/>
    <w:rsid w:val="004E21B9"/>
    <w:rsid w:val="00952A34"/>
    <w:rsid w:val="00A34A3F"/>
    <w:rsid w:val="00A4299D"/>
    <w:rsid w:val="00AF7C35"/>
    <w:rsid w:val="00BA096F"/>
    <w:rsid w:val="00BF77EB"/>
    <w:rsid w:val="00D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6156</Words>
  <Characters>35091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sp04048@donpac.ru</cp:lastModifiedBy>
  <cp:revision>5</cp:revision>
  <cp:lastPrinted>2020-11-13T06:24:00Z</cp:lastPrinted>
  <dcterms:created xsi:type="dcterms:W3CDTF">2020-10-29T13:30:00Z</dcterms:created>
  <dcterms:modified xsi:type="dcterms:W3CDTF">2020-11-13T06:24:00Z</dcterms:modified>
</cp:coreProperties>
</file>